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072"/>
      </w:tblGrid>
      <w:tr w:rsidR="00042137" w:rsidRPr="00042137">
        <w:trPr>
          <w:tblCellSpacing w:w="0" w:type="dxa"/>
        </w:trPr>
        <w:tc>
          <w:tcPr>
            <w:tcW w:w="0" w:type="auto"/>
            <w:vAlign w:val="center"/>
            <w:hideMark/>
          </w:tcPr>
          <w:tbl>
            <w:tblPr>
              <w:tblW w:w="5000" w:type="pct"/>
              <w:tblCellSpacing w:w="22" w:type="dxa"/>
              <w:tblCellMar>
                <w:left w:w="0" w:type="dxa"/>
                <w:right w:w="0" w:type="dxa"/>
              </w:tblCellMar>
              <w:tblLook w:val="04A0" w:firstRow="1" w:lastRow="0" w:firstColumn="1" w:lastColumn="0" w:noHBand="0" w:noVBand="1"/>
            </w:tblPr>
            <w:tblGrid>
              <w:gridCol w:w="6410"/>
              <w:gridCol w:w="2662"/>
            </w:tblGrid>
            <w:tr w:rsidR="00042137" w:rsidRPr="00042137">
              <w:trPr>
                <w:gridAfter w:val="1"/>
                <w:tblCellSpacing w:w="22" w:type="dxa"/>
              </w:trPr>
              <w:tc>
                <w:tcPr>
                  <w:tcW w:w="0" w:type="auto"/>
                  <w:vAlign w:val="center"/>
                  <w:hideMark/>
                </w:tcPr>
                <w:p w:rsidR="00042137" w:rsidRPr="00042137" w:rsidRDefault="00042137" w:rsidP="00042137">
                  <w:pPr>
                    <w:spacing w:before="100" w:beforeAutospacing="1" w:after="100" w:afterAutospacing="1" w:line="240" w:lineRule="auto"/>
                    <w:outlineLvl w:val="0"/>
                    <w:rPr>
                      <w:rFonts w:ascii="Arial" w:eastAsia="Times New Roman" w:hAnsi="Arial" w:cs="Arial"/>
                      <w:b/>
                      <w:bCs/>
                      <w:color w:val="006666"/>
                      <w:kern w:val="36"/>
                      <w:sz w:val="36"/>
                      <w:szCs w:val="36"/>
                      <w:lang w:eastAsia="fr-FR"/>
                    </w:rPr>
                  </w:pPr>
                  <w:r w:rsidRPr="00042137">
                    <w:rPr>
                      <w:rFonts w:ascii="Arial" w:eastAsia="Times New Roman" w:hAnsi="Arial" w:cs="Arial"/>
                      <w:b/>
                      <w:bCs/>
                      <w:color w:val="333333"/>
                      <w:kern w:val="36"/>
                      <w:sz w:val="27"/>
                      <w:szCs w:val="27"/>
                      <w:lang w:eastAsia="fr-FR"/>
                    </w:rPr>
                    <w:t>La rupture conventionnelle de CDI</w:t>
                  </w:r>
                </w:p>
                <w:p w:rsidR="00042137" w:rsidRPr="00042137" w:rsidRDefault="00042137" w:rsidP="00042137">
                  <w:pPr>
                    <w:spacing w:after="0" w:line="240" w:lineRule="auto"/>
                    <w:rPr>
                      <w:rFonts w:ascii="Arial" w:eastAsia="Times New Roman" w:hAnsi="Arial" w:cs="Arial"/>
                      <w:color w:val="333333"/>
                      <w:sz w:val="20"/>
                      <w:szCs w:val="20"/>
                      <w:lang w:eastAsia="fr-FR"/>
                    </w:rPr>
                  </w:pPr>
                  <w:r w:rsidRPr="00042137">
                    <w:rPr>
                      <w:rFonts w:ascii="Arial" w:eastAsia="Times New Roman" w:hAnsi="Arial" w:cs="Arial"/>
                      <w:color w:val="333333"/>
                      <w:sz w:val="20"/>
                      <w:szCs w:val="20"/>
                      <w:lang w:eastAsia="fr-FR"/>
                    </w:rPr>
                    <w:t>Fiche pratique</w:t>
                  </w:r>
                </w:p>
              </w:tc>
            </w:tr>
            <w:tr w:rsidR="00042137" w:rsidRPr="00042137">
              <w:trPr>
                <w:tblCellSpacing w:w="22" w:type="dxa"/>
              </w:trPr>
              <w:tc>
                <w:tcPr>
                  <w:tcW w:w="0" w:type="auto"/>
                  <w:vAlign w:val="center"/>
                  <w:hideMark/>
                </w:tcPr>
                <w:p w:rsidR="00042137" w:rsidRPr="00042137" w:rsidRDefault="00042137" w:rsidP="00042137">
                  <w:pPr>
                    <w:spacing w:after="0" w:line="240" w:lineRule="auto"/>
                    <w:rPr>
                      <w:rFonts w:ascii="Arial" w:eastAsia="Times New Roman" w:hAnsi="Arial" w:cs="Arial"/>
                      <w:color w:val="333333"/>
                      <w:sz w:val="20"/>
                      <w:szCs w:val="20"/>
                      <w:lang w:eastAsia="fr-FR"/>
                    </w:rPr>
                  </w:pPr>
                  <w:r w:rsidRPr="00042137">
                    <w:rPr>
                      <w:rFonts w:ascii="Arial" w:eastAsia="Times New Roman" w:hAnsi="Arial" w:cs="Arial"/>
                      <w:color w:val="333333"/>
                      <w:sz w:val="20"/>
                      <w:szCs w:val="20"/>
                      <w:lang w:eastAsia="fr-FR"/>
                    </w:rPr>
                    <w:t> </w:t>
                  </w:r>
                </w:p>
              </w:tc>
              <w:tc>
                <w:tcPr>
                  <w:tcW w:w="0" w:type="auto"/>
                  <w:vAlign w:val="center"/>
                  <w:hideMark/>
                </w:tcPr>
                <w:p w:rsidR="00042137" w:rsidRPr="00042137" w:rsidRDefault="00042137" w:rsidP="00042137">
                  <w:pPr>
                    <w:spacing w:after="0" w:line="240" w:lineRule="auto"/>
                    <w:jc w:val="right"/>
                    <w:rPr>
                      <w:rFonts w:ascii="Arial" w:eastAsia="Times New Roman" w:hAnsi="Arial" w:cs="Arial"/>
                      <w:color w:val="333333"/>
                      <w:sz w:val="20"/>
                      <w:szCs w:val="20"/>
                      <w:lang w:eastAsia="fr-FR"/>
                    </w:rPr>
                  </w:pPr>
                  <w:hyperlink r:id="rId5" w:history="1">
                    <w:r w:rsidRPr="00042137">
                      <w:rPr>
                        <w:rFonts w:ascii="Verdana" w:eastAsia="Times New Roman" w:hAnsi="Verdana" w:cs="Arial"/>
                        <w:b/>
                        <w:bCs/>
                        <w:color w:val="333333"/>
                        <w:sz w:val="15"/>
                        <w:szCs w:val="15"/>
                        <w:u w:val="single"/>
                        <w:lang w:eastAsia="fr-FR"/>
                      </w:rPr>
                      <w:t>DONNEZ VOTRE AVIS</w:t>
                    </w:r>
                  </w:hyperlink>
                </w:p>
              </w:tc>
            </w:tr>
          </w:tbl>
          <w:p w:rsidR="00042137" w:rsidRPr="00042137" w:rsidRDefault="00042137" w:rsidP="00042137">
            <w:pPr>
              <w:spacing w:after="0" w:line="240" w:lineRule="auto"/>
              <w:rPr>
                <w:rFonts w:ascii="Arial" w:eastAsia="Times New Roman" w:hAnsi="Arial" w:cs="Arial"/>
                <w:color w:val="333333"/>
                <w:sz w:val="20"/>
                <w:szCs w:val="20"/>
                <w:lang w:eastAsia="fr-FR"/>
              </w:rPr>
            </w:pPr>
          </w:p>
        </w:tc>
      </w:tr>
      <w:tr w:rsidR="00042137" w:rsidRPr="00042137">
        <w:trPr>
          <w:tblCellSpacing w:w="0" w:type="dxa"/>
        </w:trPr>
        <w:tc>
          <w:tcPr>
            <w:tcW w:w="0" w:type="auto"/>
            <w:vAlign w:val="center"/>
            <w:hideMark/>
          </w:tcPr>
          <w:p w:rsidR="00042137" w:rsidRPr="00042137" w:rsidRDefault="00042137" w:rsidP="00042137">
            <w:pPr>
              <w:spacing w:after="0" w:line="240" w:lineRule="auto"/>
              <w:rPr>
                <w:rFonts w:ascii="Arial" w:eastAsia="Times New Roman" w:hAnsi="Arial" w:cs="Arial"/>
                <w:color w:val="333333"/>
                <w:sz w:val="20"/>
                <w:szCs w:val="20"/>
                <w:lang w:eastAsia="fr-FR"/>
              </w:rPr>
            </w:pPr>
            <w:r w:rsidRPr="00042137">
              <w:rPr>
                <w:rFonts w:ascii="Arial" w:eastAsia="Times New Roman" w:hAnsi="Arial" w:cs="Arial"/>
                <w:noProof/>
                <w:color w:val="333333"/>
                <w:sz w:val="20"/>
                <w:szCs w:val="20"/>
                <w:lang w:eastAsia="fr-FR"/>
              </w:rPr>
              <w:drawing>
                <wp:inline distT="0" distB="0" distL="0" distR="0" wp14:anchorId="5A2C1F19" wp14:editId="69B1DB9E">
                  <wp:extent cx="9753600" cy="47625"/>
                  <wp:effectExtent l="0" t="0" r="0" b="9525"/>
                  <wp:docPr id="1" name="Image 1" descr="http://www.journaldunet.com/management/pratique/image/commun/pointil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ournaldunet.com/management/pratique/image/commun/pointille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47625"/>
                          </a:xfrm>
                          <a:prstGeom prst="rect">
                            <a:avLst/>
                          </a:prstGeom>
                          <a:noFill/>
                          <a:ln>
                            <a:noFill/>
                          </a:ln>
                        </pic:spPr>
                      </pic:pic>
                    </a:graphicData>
                  </a:graphic>
                </wp:inline>
              </w:drawing>
            </w:r>
          </w:p>
        </w:tc>
      </w:tr>
      <w:tr w:rsidR="00042137" w:rsidRPr="00042137">
        <w:trPr>
          <w:tblCellSpacing w:w="0" w:type="dxa"/>
        </w:trPr>
        <w:tc>
          <w:tcPr>
            <w:tcW w:w="0" w:type="auto"/>
            <w:vAlign w:val="center"/>
            <w:hideMark/>
          </w:tcPr>
          <w:p w:rsidR="00042137" w:rsidRPr="00042137" w:rsidRDefault="00042137" w:rsidP="00042137">
            <w:pPr>
              <w:spacing w:after="150" w:line="240" w:lineRule="auto"/>
              <w:rPr>
                <w:rFonts w:ascii="Arial" w:eastAsia="Times New Roman" w:hAnsi="Arial" w:cs="Arial"/>
                <w:b/>
                <w:bCs/>
                <w:color w:val="666666"/>
                <w:sz w:val="20"/>
                <w:szCs w:val="20"/>
                <w:lang w:eastAsia="fr-FR"/>
              </w:rPr>
            </w:pPr>
            <w:r w:rsidRPr="00042137">
              <w:rPr>
                <w:rFonts w:ascii="Arial" w:eastAsia="Times New Roman" w:hAnsi="Arial" w:cs="Arial"/>
                <w:b/>
                <w:bCs/>
                <w:color w:val="666666"/>
                <w:sz w:val="20"/>
                <w:szCs w:val="20"/>
                <w:lang w:eastAsia="fr-FR"/>
              </w:rPr>
              <w:t>La rupture conventionnelle permet à l'employeur et au salarié de s'accorder sur les conditions de la fin du contrat de travail à durée indéterminée. Elle ouvre droit, pour le salarié, à l'assurance chômage.</w:t>
            </w:r>
          </w:p>
        </w:tc>
      </w:tr>
      <w:tr w:rsidR="00042137" w:rsidRPr="00042137">
        <w:trPr>
          <w:tblCellSpacing w:w="0" w:type="dxa"/>
        </w:trPr>
        <w:tc>
          <w:tcPr>
            <w:tcW w:w="0" w:type="auto"/>
            <w:vAlign w:val="center"/>
            <w:hideMark/>
          </w:tcPr>
          <w:p w:rsidR="00042137" w:rsidRPr="00042137" w:rsidRDefault="00042137" w:rsidP="00042137">
            <w:pPr>
              <w:spacing w:after="0" w:line="240" w:lineRule="auto"/>
              <w:rPr>
                <w:rFonts w:ascii="Arial" w:eastAsia="Times New Roman" w:hAnsi="Arial" w:cs="Arial"/>
                <w:color w:val="333333"/>
                <w:sz w:val="20"/>
                <w:szCs w:val="20"/>
                <w:lang w:eastAsia="fr-FR"/>
              </w:rPr>
            </w:pPr>
            <w:r w:rsidRPr="00042137">
              <w:rPr>
                <w:rFonts w:ascii="Arial" w:eastAsia="Times New Roman" w:hAnsi="Arial" w:cs="Arial"/>
                <w:color w:val="333333"/>
                <w:sz w:val="20"/>
                <w:szCs w:val="20"/>
                <w:lang w:eastAsia="fr-FR"/>
              </w:rPr>
              <w:t> </w:t>
            </w:r>
          </w:p>
        </w:tc>
      </w:tr>
      <w:tr w:rsidR="00042137" w:rsidRPr="00042137">
        <w:trPr>
          <w:tblCellSpacing w:w="0" w:type="dxa"/>
        </w:trPr>
        <w:tc>
          <w:tcPr>
            <w:tcW w:w="0" w:type="auto"/>
            <w:vAlign w:val="center"/>
            <w:hideMark/>
          </w:tcPr>
          <w:p w:rsidR="00042137" w:rsidRPr="00042137" w:rsidRDefault="00042137" w:rsidP="00042137">
            <w:pPr>
              <w:spacing w:after="0" w:line="240" w:lineRule="auto"/>
              <w:rPr>
                <w:rFonts w:ascii="Arial" w:eastAsia="Times New Roman" w:hAnsi="Arial" w:cs="Arial"/>
                <w:color w:val="333333"/>
                <w:sz w:val="20"/>
                <w:szCs w:val="20"/>
                <w:lang w:eastAsia="fr-FR"/>
              </w:rPr>
            </w:pPr>
            <w:r w:rsidRPr="00042137">
              <w:rPr>
                <w:rFonts w:ascii="Arial" w:eastAsia="Times New Roman" w:hAnsi="Arial" w:cs="Arial"/>
                <w:color w:val="333333"/>
                <w:sz w:val="20"/>
                <w:szCs w:val="20"/>
                <w:lang w:eastAsia="fr-FR"/>
              </w:rPr>
              <w:t> </w:t>
            </w:r>
          </w:p>
        </w:tc>
      </w:tr>
      <w:tr w:rsidR="00042137" w:rsidRPr="00042137">
        <w:trPr>
          <w:tblCellSpacing w:w="0" w:type="dxa"/>
        </w:trPr>
        <w:tc>
          <w:tcPr>
            <w:tcW w:w="0" w:type="auto"/>
            <w:vAlign w:val="center"/>
            <w:hideMark/>
          </w:tcPr>
          <w:p w:rsidR="00042137" w:rsidRPr="00042137" w:rsidRDefault="00042137" w:rsidP="00042137">
            <w:pPr>
              <w:spacing w:after="0" w:line="240" w:lineRule="auto"/>
              <w:jc w:val="right"/>
              <w:rPr>
                <w:rFonts w:ascii="Arial" w:eastAsia="Times New Roman" w:hAnsi="Arial" w:cs="Arial"/>
                <w:color w:val="333333"/>
                <w:sz w:val="18"/>
                <w:szCs w:val="18"/>
                <w:lang w:eastAsia="fr-FR"/>
              </w:rPr>
            </w:pPr>
            <w:r w:rsidRPr="00042137">
              <w:rPr>
                <w:rFonts w:ascii="Arial" w:eastAsia="Times New Roman" w:hAnsi="Arial" w:cs="Arial"/>
                <w:color w:val="333333"/>
                <w:sz w:val="18"/>
                <w:szCs w:val="18"/>
                <w:lang w:eastAsia="fr-FR"/>
              </w:rPr>
              <w:t>Dernière mise à jour : décembre 2013</w:t>
            </w:r>
          </w:p>
        </w:tc>
      </w:tr>
      <w:tr w:rsidR="00042137" w:rsidRPr="00042137">
        <w:trPr>
          <w:tblCellSpacing w:w="0" w:type="dxa"/>
        </w:trPr>
        <w:tc>
          <w:tcPr>
            <w:tcW w:w="0" w:type="auto"/>
            <w:vAlign w:val="center"/>
            <w:hideMark/>
          </w:tcPr>
          <w:p w:rsidR="00042137" w:rsidRPr="00042137" w:rsidRDefault="00042137" w:rsidP="00042137">
            <w:pPr>
              <w:spacing w:after="0" w:line="240" w:lineRule="auto"/>
              <w:rPr>
                <w:rFonts w:ascii="Arial" w:eastAsia="Times New Roman" w:hAnsi="Arial" w:cs="Arial"/>
                <w:color w:val="333333"/>
                <w:sz w:val="20"/>
                <w:szCs w:val="20"/>
                <w:lang w:eastAsia="fr-FR"/>
              </w:rPr>
            </w:pPr>
            <w:r w:rsidRPr="00042137">
              <w:rPr>
                <w:rFonts w:ascii="Arial" w:eastAsia="Times New Roman" w:hAnsi="Arial" w:cs="Arial"/>
                <w:color w:val="333333"/>
                <w:sz w:val="20"/>
                <w:szCs w:val="20"/>
                <w:lang w:eastAsia="fr-FR"/>
              </w:rPr>
              <w:t> </w:t>
            </w:r>
          </w:p>
        </w:tc>
      </w:tr>
      <w:tr w:rsidR="00042137" w:rsidRPr="00042137">
        <w:trPr>
          <w:tblCellSpacing w:w="0" w:type="dxa"/>
        </w:trPr>
        <w:tc>
          <w:tcPr>
            <w:tcW w:w="0" w:type="auto"/>
            <w:vAlign w:val="center"/>
            <w:hideMark/>
          </w:tcPr>
          <w:p w:rsidR="00042137" w:rsidRPr="00042137" w:rsidRDefault="00042137" w:rsidP="00042137">
            <w:pPr>
              <w:spacing w:after="240" w:line="240" w:lineRule="auto"/>
              <w:rPr>
                <w:rFonts w:ascii="Arial" w:eastAsia="Times New Roman" w:hAnsi="Arial" w:cs="Arial"/>
                <w:color w:val="333333"/>
                <w:sz w:val="20"/>
                <w:szCs w:val="20"/>
                <w:lang w:eastAsia="fr-FR"/>
              </w:rPr>
            </w:pPr>
            <w:r w:rsidRPr="00042137">
              <w:rPr>
                <w:rFonts w:ascii="Arial" w:eastAsia="Times New Roman" w:hAnsi="Arial" w:cs="Arial"/>
                <w:b/>
                <w:bCs/>
                <w:color w:val="333333"/>
                <w:sz w:val="20"/>
                <w:szCs w:val="20"/>
                <w:lang w:eastAsia="fr-FR"/>
              </w:rPr>
              <w:t>Le concept</w:t>
            </w:r>
            <w:r w:rsidRPr="00042137">
              <w:rPr>
                <w:rFonts w:ascii="Arial" w:eastAsia="Times New Roman" w:hAnsi="Arial" w:cs="Arial"/>
                <w:color w:val="333333"/>
                <w:sz w:val="20"/>
                <w:szCs w:val="20"/>
                <w:lang w:eastAsia="fr-FR"/>
              </w:rPr>
              <w:br/>
              <w:t xml:space="preserve">Mise en place par la loi de modernisation du marché du travail de 2008, la </w:t>
            </w:r>
            <w:hyperlink r:id="rId7" w:tgtFrame="_blank" w:history="1">
              <w:r w:rsidRPr="00042137">
                <w:rPr>
                  <w:rFonts w:ascii="Arial" w:eastAsia="Times New Roman" w:hAnsi="Arial" w:cs="Arial"/>
                  <w:color w:val="333333"/>
                  <w:sz w:val="20"/>
                  <w:szCs w:val="20"/>
                  <w:u w:val="single"/>
                  <w:lang w:eastAsia="fr-FR"/>
                </w:rPr>
                <w:t>rupture conventionnelle</w:t>
              </w:r>
            </w:hyperlink>
            <w:r w:rsidRPr="00042137">
              <w:rPr>
                <w:rFonts w:ascii="Arial" w:eastAsia="Times New Roman" w:hAnsi="Arial" w:cs="Arial"/>
                <w:color w:val="333333"/>
                <w:sz w:val="20"/>
                <w:szCs w:val="20"/>
                <w:lang w:eastAsia="fr-FR"/>
              </w:rPr>
              <w:t xml:space="preserve"> n'est ni un </w:t>
            </w:r>
            <w:hyperlink r:id="rId8" w:tgtFrame="_blank" w:history="1">
              <w:r w:rsidRPr="00042137">
                <w:rPr>
                  <w:rFonts w:ascii="Arial" w:eastAsia="Times New Roman" w:hAnsi="Arial" w:cs="Arial"/>
                  <w:color w:val="333333"/>
                  <w:sz w:val="20"/>
                  <w:szCs w:val="20"/>
                  <w:u w:val="single"/>
                  <w:lang w:eastAsia="fr-FR"/>
                </w:rPr>
                <w:t>licenciement</w:t>
              </w:r>
            </w:hyperlink>
            <w:r w:rsidRPr="00042137">
              <w:rPr>
                <w:rFonts w:ascii="Arial" w:eastAsia="Times New Roman" w:hAnsi="Arial" w:cs="Arial"/>
                <w:color w:val="333333"/>
                <w:sz w:val="20"/>
                <w:szCs w:val="20"/>
                <w:lang w:eastAsia="fr-FR"/>
              </w:rPr>
              <w:t xml:space="preserve"> ni une démission. Nécessitant l'accord des deux parties, elle permet à l'employeur et aux salariés de définir les conditions de la rupture du contrat de travail. L'une ou l'autre des parties peut être à l'origine de la </w:t>
            </w:r>
            <w:hyperlink r:id="rId9" w:tgtFrame="_blank" w:history="1">
              <w:r w:rsidRPr="00042137">
                <w:rPr>
                  <w:rFonts w:ascii="Arial" w:eastAsia="Times New Roman" w:hAnsi="Arial" w:cs="Arial"/>
                  <w:color w:val="333333"/>
                  <w:sz w:val="20"/>
                  <w:szCs w:val="20"/>
                  <w:u w:val="single"/>
                  <w:lang w:eastAsia="fr-FR"/>
                </w:rPr>
                <w:t>demande de rupture conventionnelle</w:t>
              </w:r>
            </w:hyperlink>
            <w:r w:rsidRPr="00042137">
              <w:rPr>
                <w:rFonts w:ascii="Arial" w:eastAsia="Times New Roman" w:hAnsi="Arial" w:cs="Arial"/>
                <w:color w:val="333333"/>
                <w:sz w:val="20"/>
                <w:szCs w:val="20"/>
                <w:lang w:eastAsia="fr-FR"/>
              </w:rPr>
              <w:t>. </w:t>
            </w:r>
            <w:r w:rsidRPr="00042137">
              <w:rPr>
                <w:rFonts w:ascii="Arial" w:eastAsia="Times New Roman" w:hAnsi="Arial" w:cs="Arial"/>
                <w:color w:val="333333"/>
                <w:sz w:val="20"/>
                <w:szCs w:val="20"/>
                <w:lang w:eastAsia="fr-FR"/>
              </w:rPr>
              <w:br/>
              <w:t> </w:t>
            </w:r>
            <w:r w:rsidRPr="00042137">
              <w:rPr>
                <w:rFonts w:ascii="Arial" w:eastAsia="Times New Roman" w:hAnsi="Arial" w:cs="Arial"/>
                <w:color w:val="333333"/>
                <w:sz w:val="20"/>
                <w:szCs w:val="20"/>
                <w:lang w:eastAsia="fr-FR"/>
              </w:rPr>
              <w:br/>
            </w:r>
            <w:r w:rsidRPr="00042137">
              <w:rPr>
                <w:rFonts w:ascii="Arial" w:eastAsia="Times New Roman" w:hAnsi="Arial" w:cs="Arial"/>
                <w:b/>
                <w:bCs/>
                <w:color w:val="333333"/>
                <w:sz w:val="20"/>
                <w:szCs w:val="20"/>
                <w:lang w:eastAsia="fr-FR"/>
              </w:rPr>
              <w:t>L'entretien</w:t>
            </w:r>
            <w:r w:rsidRPr="00042137">
              <w:rPr>
                <w:rFonts w:ascii="Arial" w:eastAsia="Times New Roman" w:hAnsi="Arial" w:cs="Arial"/>
                <w:b/>
                <w:bCs/>
                <w:color w:val="333333"/>
                <w:sz w:val="20"/>
                <w:szCs w:val="20"/>
                <w:lang w:eastAsia="fr-FR"/>
              </w:rPr>
              <w:br/>
            </w:r>
            <w:r w:rsidRPr="00042137">
              <w:rPr>
                <w:rFonts w:ascii="Arial" w:eastAsia="Times New Roman" w:hAnsi="Arial" w:cs="Arial"/>
                <w:color w:val="333333"/>
                <w:sz w:val="20"/>
                <w:szCs w:val="20"/>
                <w:lang w:eastAsia="fr-FR"/>
              </w:rPr>
              <w:t>C'est au cours d'un ou de plusieurs entretiens que l'employeur et le salarié conviennent de ce principe. L'un comme l'autre peuvent se faire assister au cours de cet entretien, sous condition d'en informer l'autre partie.</w:t>
            </w:r>
            <w:r w:rsidRPr="00042137">
              <w:rPr>
                <w:rFonts w:ascii="Arial" w:eastAsia="Times New Roman" w:hAnsi="Arial" w:cs="Arial"/>
                <w:color w:val="333333"/>
                <w:sz w:val="20"/>
                <w:szCs w:val="20"/>
                <w:lang w:eastAsia="fr-FR"/>
              </w:rPr>
              <w:br/>
            </w:r>
            <w:r w:rsidRPr="00042137">
              <w:rPr>
                <w:rFonts w:ascii="Arial" w:eastAsia="Times New Roman" w:hAnsi="Arial" w:cs="Arial"/>
                <w:color w:val="333333"/>
                <w:sz w:val="20"/>
                <w:szCs w:val="20"/>
                <w:lang w:eastAsia="fr-FR"/>
              </w:rPr>
              <w:br/>
            </w:r>
            <w:r w:rsidRPr="00042137">
              <w:rPr>
                <w:rFonts w:ascii="Arial" w:eastAsia="Times New Roman" w:hAnsi="Arial" w:cs="Arial"/>
                <w:b/>
                <w:bCs/>
                <w:color w:val="333333"/>
                <w:sz w:val="20"/>
                <w:szCs w:val="20"/>
                <w:lang w:eastAsia="fr-FR"/>
              </w:rPr>
              <w:t>La convention</w:t>
            </w:r>
            <w:r w:rsidRPr="00042137">
              <w:rPr>
                <w:rFonts w:ascii="Arial" w:eastAsia="Times New Roman" w:hAnsi="Arial" w:cs="Arial"/>
                <w:color w:val="333333"/>
                <w:sz w:val="20"/>
                <w:szCs w:val="20"/>
                <w:lang w:eastAsia="fr-FR"/>
              </w:rPr>
              <w:br/>
              <w:t>La convention de rupture définit les conditions dans lesquelles employeur et salarié s'accordent pour mettre un terme au contrat de travail. Elle prévoit, entre autres, le montant de "</w:t>
            </w:r>
            <w:hyperlink r:id="rId10" w:tgtFrame="_blank" w:history="1">
              <w:r w:rsidRPr="00042137">
                <w:rPr>
                  <w:rFonts w:ascii="Arial" w:eastAsia="Times New Roman" w:hAnsi="Arial" w:cs="Arial"/>
                  <w:color w:val="333333"/>
                  <w:sz w:val="20"/>
                  <w:szCs w:val="20"/>
                  <w:u w:val="single"/>
                  <w:lang w:eastAsia="fr-FR"/>
                </w:rPr>
                <w:t>l'indemnité spécifique de rupture conventionnelle</w:t>
              </w:r>
            </w:hyperlink>
            <w:r w:rsidRPr="00042137">
              <w:rPr>
                <w:rFonts w:ascii="Arial" w:eastAsia="Times New Roman" w:hAnsi="Arial" w:cs="Arial"/>
                <w:color w:val="333333"/>
                <w:sz w:val="20"/>
                <w:szCs w:val="20"/>
                <w:lang w:eastAsia="fr-FR"/>
              </w:rPr>
              <w:t xml:space="preserve">" versée au salarié. Celle-ci ne peut être inférieure au montant de </w:t>
            </w:r>
            <w:hyperlink r:id="rId11" w:tgtFrame="_blank" w:history="1">
              <w:r w:rsidRPr="00042137">
                <w:rPr>
                  <w:rFonts w:ascii="Arial" w:eastAsia="Times New Roman" w:hAnsi="Arial" w:cs="Arial"/>
                  <w:color w:val="333333"/>
                  <w:sz w:val="20"/>
                  <w:szCs w:val="20"/>
                  <w:u w:val="single"/>
                  <w:lang w:eastAsia="fr-FR"/>
                </w:rPr>
                <w:t>l'indemnité légale de licenciement</w:t>
              </w:r>
            </w:hyperlink>
            <w:r w:rsidRPr="00042137">
              <w:rPr>
                <w:rFonts w:ascii="Arial" w:eastAsia="Times New Roman" w:hAnsi="Arial" w:cs="Arial"/>
                <w:color w:val="333333"/>
                <w:sz w:val="20"/>
                <w:szCs w:val="20"/>
                <w:lang w:eastAsia="fr-FR"/>
              </w:rPr>
              <w:t xml:space="preserve">. Cette convention détermine aussi la date à laquelle se termine le contrat de travail. </w:t>
            </w:r>
            <w:r w:rsidRPr="00042137">
              <w:rPr>
                <w:rFonts w:ascii="Arial" w:eastAsia="Times New Roman" w:hAnsi="Arial" w:cs="Arial"/>
                <w:color w:val="333333"/>
                <w:sz w:val="20"/>
                <w:szCs w:val="20"/>
                <w:lang w:eastAsia="fr-FR"/>
              </w:rPr>
              <w:br/>
            </w:r>
            <w:r w:rsidRPr="00042137">
              <w:rPr>
                <w:rFonts w:ascii="Arial" w:eastAsia="Times New Roman" w:hAnsi="Arial" w:cs="Arial"/>
                <w:color w:val="333333"/>
                <w:sz w:val="20"/>
                <w:szCs w:val="20"/>
                <w:lang w:eastAsia="fr-FR"/>
              </w:rPr>
              <w:br/>
            </w:r>
            <w:r w:rsidRPr="00042137">
              <w:rPr>
                <w:rFonts w:ascii="Arial" w:eastAsia="Times New Roman" w:hAnsi="Arial" w:cs="Arial"/>
                <w:b/>
                <w:bCs/>
                <w:color w:val="333333"/>
                <w:sz w:val="20"/>
                <w:szCs w:val="20"/>
                <w:lang w:eastAsia="fr-FR"/>
              </w:rPr>
              <w:t>Délai et rétractation</w:t>
            </w:r>
            <w:r w:rsidRPr="00042137">
              <w:rPr>
                <w:rFonts w:ascii="Arial" w:eastAsia="Times New Roman" w:hAnsi="Arial" w:cs="Arial"/>
                <w:b/>
                <w:bCs/>
                <w:color w:val="333333"/>
                <w:sz w:val="20"/>
                <w:szCs w:val="20"/>
                <w:lang w:eastAsia="fr-FR"/>
              </w:rPr>
              <w:br/>
            </w:r>
            <w:r w:rsidRPr="00042137">
              <w:rPr>
                <w:rFonts w:ascii="Arial" w:eastAsia="Times New Roman" w:hAnsi="Arial" w:cs="Arial"/>
                <w:color w:val="333333"/>
                <w:sz w:val="20"/>
                <w:szCs w:val="20"/>
                <w:lang w:eastAsia="fr-FR"/>
              </w:rPr>
              <w:t>A partir de la signature de la convention, les deux parties disposent d'un délai de 15 jours calendaires pour revenir sur leur décision. Idéalement, cette rétractation se fait par lettre recommandée avec accusé de réception ou par remise en main propre. Aucune justification n'est nécessaire de la part du salarié ou de l'employeur.</w:t>
            </w:r>
            <w:r w:rsidRPr="00042137">
              <w:rPr>
                <w:rFonts w:ascii="Arial" w:eastAsia="Times New Roman" w:hAnsi="Arial" w:cs="Arial"/>
                <w:color w:val="333333"/>
                <w:sz w:val="20"/>
                <w:szCs w:val="20"/>
                <w:lang w:eastAsia="fr-FR"/>
              </w:rPr>
              <w:br/>
            </w:r>
            <w:r w:rsidRPr="00042137">
              <w:rPr>
                <w:rFonts w:ascii="Arial" w:eastAsia="Times New Roman" w:hAnsi="Arial" w:cs="Arial"/>
                <w:color w:val="333333"/>
                <w:sz w:val="20"/>
                <w:szCs w:val="20"/>
                <w:lang w:eastAsia="fr-FR"/>
              </w:rPr>
              <w:br/>
            </w:r>
            <w:r w:rsidRPr="00042137">
              <w:rPr>
                <w:rFonts w:ascii="Arial" w:eastAsia="Times New Roman" w:hAnsi="Arial" w:cs="Arial"/>
                <w:b/>
                <w:bCs/>
                <w:color w:val="333333"/>
                <w:sz w:val="20"/>
                <w:szCs w:val="20"/>
                <w:lang w:eastAsia="fr-FR"/>
              </w:rPr>
              <w:t>Le rôle de l'administration</w:t>
            </w:r>
            <w:r w:rsidRPr="00042137">
              <w:rPr>
                <w:rFonts w:ascii="Arial" w:eastAsia="Times New Roman" w:hAnsi="Arial" w:cs="Arial"/>
                <w:color w:val="333333"/>
                <w:sz w:val="20"/>
                <w:szCs w:val="20"/>
                <w:lang w:eastAsia="fr-FR"/>
              </w:rPr>
              <w:br/>
              <w:t>Une fois la convention signée, une demande d'homologation doit être transmise au directeur départemental du travail, de l'emploi et de la formation professionnelle (DDTEFP). A partir de la réception de la demande, l'administration dispose d'un délai de 15 </w:t>
            </w:r>
            <w:hyperlink r:id="rId12" w:tgtFrame="_blank" w:history="1">
              <w:r w:rsidRPr="00042137">
                <w:rPr>
                  <w:rFonts w:ascii="Arial" w:eastAsia="Times New Roman" w:hAnsi="Arial" w:cs="Arial"/>
                  <w:color w:val="333333"/>
                  <w:sz w:val="20"/>
                  <w:szCs w:val="20"/>
                  <w:u w:val="single"/>
                  <w:lang w:eastAsia="fr-FR"/>
                </w:rPr>
                <w:t>jours ouvrables</w:t>
              </w:r>
            </w:hyperlink>
            <w:r w:rsidRPr="00042137">
              <w:rPr>
                <w:rFonts w:ascii="Arial" w:eastAsia="Times New Roman" w:hAnsi="Arial" w:cs="Arial"/>
                <w:color w:val="333333"/>
                <w:sz w:val="20"/>
                <w:szCs w:val="20"/>
                <w:lang w:eastAsia="fr-FR"/>
              </w:rPr>
              <w:t xml:space="preserve"> pour instruire la demande. Le DDTEFP vérifie le respect des règles prévues comme le montant des indemnités ou le droit de rétractation. Au-delà de ce délai, l'homologation est acquise. Sans l'accord, même tacite, de l'administration, la rupture conventionnelle n'a aucun effet sur le contrat de travail.</w:t>
            </w:r>
          </w:p>
        </w:tc>
      </w:tr>
    </w:tbl>
    <w:p w:rsidR="006817CB" w:rsidRDefault="006817CB">
      <w:bookmarkStart w:id="0" w:name="_GoBack"/>
      <w:bookmarkEnd w:id="0"/>
    </w:p>
    <w:sectPr w:rsidR="006817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137"/>
    <w:rsid w:val="00042137"/>
    <w:rsid w:val="006817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421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21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421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21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825084">
      <w:bodyDiv w:val="1"/>
      <w:marLeft w:val="0"/>
      <w:marRight w:val="0"/>
      <w:marTop w:val="0"/>
      <w:marBottom w:val="0"/>
      <w:divBdr>
        <w:top w:val="none" w:sz="0" w:space="0" w:color="auto"/>
        <w:left w:val="none" w:sz="0" w:space="0" w:color="auto"/>
        <w:bottom w:val="none" w:sz="0" w:space="0" w:color="auto"/>
        <w:right w:val="none" w:sz="0" w:space="0" w:color="auto"/>
      </w:divBdr>
      <w:divsChild>
        <w:div w:id="2142266737">
          <w:marLeft w:val="0"/>
          <w:marRight w:val="0"/>
          <w:marTop w:val="1500"/>
          <w:marBottom w:val="0"/>
          <w:divBdr>
            <w:top w:val="none" w:sz="0" w:space="0" w:color="auto"/>
            <w:left w:val="none" w:sz="0" w:space="0" w:color="auto"/>
            <w:bottom w:val="none" w:sz="0" w:space="0" w:color="auto"/>
            <w:right w:val="none" w:sz="0" w:space="0" w:color="auto"/>
          </w:divBdr>
          <w:divsChild>
            <w:div w:id="1716545810">
              <w:marLeft w:val="0"/>
              <w:marRight w:val="0"/>
              <w:marTop w:val="1500"/>
              <w:marBottom w:val="0"/>
              <w:divBdr>
                <w:top w:val="none" w:sz="0" w:space="0" w:color="auto"/>
                <w:left w:val="none" w:sz="0" w:space="0" w:color="auto"/>
                <w:bottom w:val="none" w:sz="0" w:space="0" w:color="auto"/>
                <w:right w:val="none" w:sz="0" w:space="0" w:color="auto"/>
              </w:divBdr>
              <w:divsChild>
                <w:div w:id="1318150297">
                  <w:marLeft w:val="0"/>
                  <w:marRight w:val="0"/>
                  <w:marTop w:val="0"/>
                  <w:marBottom w:val="0"/>
                  <w:divBdr>
                    <w:top w:val="none" w:sz="0" w:space="0" w:color="auto"/>
                    <w:left w:val="none" w:sz="0" w:space="0" w:color="auto"/>
                    <w:bottom w:val="none" w:sz="0" w:space="0" w:color="auto"/>
                    <w:right w:val="none" w:sz="0" w:space="0" w:color="auto"/>
                  </w:divBdr>
                  <w:divsChild>
                    <w:div w:id="2055692397">
                      <w:marLeft w:val="1950"/>
                      <w:marRight w:val="0"/>
                      <w:marTop w:val="420"/>
                      <w:marBottom w:val="0"/>
                      <w:divBdr>
                        <w:top w:val="none" w:sz="0" w:space="0" w:color="auto"/>
                        <w:left w:val="single" w:sz="6" w:space="11" w:color="B2CCCC"/>
                        <w:bottom w:val="none" w:sz="0" w:space="0" w:color="auto"/>
                        <w:right w:val="none" w:sz="0" w:space="0" w:color="auto"/>
                      </w:divBdr>
                      <w:divsChild>
                        <w:div w:id="18312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rnaldunet.com/management/pratique/licenciement/5035/les-motifs-de-licenciement.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urnaldunet.com/management/emploi-cadres/procedure-rupture-conventionnelle/" TargetMode="External"/><Relationship Id="rId12" Type="http://schemas.openxmlformats.org/officeDocument/2006/relationships/hyperlink" Target="http://www.journaldunet.com/management/pratique/conges/4640/jours-ouvrables-et-jours-ouvres-en-2013.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journaldunet.com/management/pratique/licenciement/1666/l-indemnite-de-licenciement.html" TargetMode="External"/><Relationship Id="rId5" Type="http://schemas.openxmlformats.org/officeDocument/2006/relationships/hyperlink" Target="http://www.journaldunet.com/management/pratique/depose-avis/emploi/licenciement/1652/la-rupture-conventionnelle-de-cdi.html" TargetMode="External"/><Relationship Id="rId10" Type="http://schemas.openxmlformats.org/officeDocument/2006/relationships/hyperlink" Target="http://www.journaldunet.com/management/pratique/licenciement/5070/l-indemnite-de-rupture-conventionnelle-calcul-exemple-fiscalite.html" TargetMode="External"/><Relationship Id="rId4" Type="http://schemas.openxmlformats.org/officeDocument/2006/relationships/webSettings" Target="webSettings.xml"/><Relationship Id="rId9" Type="http://schemas.openxmlformats.org/officeDocument/2006/relationships/hyperlink" Target="http://www.journaldunet.com/management/pratique/licenciement/5022/demande-de-rupture-conventionnelle.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2792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Christelle</dc:creator>
  <cp:lastModifiedBy>Christelle</cp:lastModifiedBy>
  <cp:revision>1</cp:revision>
  <dcterms:created xsi:type="dcterms:W3CDTF">2013-12-08T14:16:00Z</dcterms:created>
  <dcterms:modified xsi:type="dcterms:W3CDTF">2013-12-08T14:17:00Z</dcterms:modified>
</cp:coreProperties>
</file>